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36"/>
          <w:szCs w:val="36"/>
        </w:rPr>
      </w:pPr>
      <w:r w:rsidRPr="008D019B">
        <w:rPr>
          <w:rFonts w:ascii="Times New Roman" w:hAnsi="Times New Roman"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725885" cy="76629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57" cy="7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Cs w:val="24"/>
        </w:rPr>
      </w:pPr>
    </w:p>
    <w:p w:rsidR="009452DF" w:rsidRPr="008D019B" w:rsidP="00BF40DF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IF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&lt;&gt; ""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MERGEFIELD P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arent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="008D019B">
        <w:rPr>
          <w:rFonts w:ascii="Times New Roman" w:hAnsi="Times New Roman"/>
          <w:b/>
          <w:noProof/>
          <w:color w:val="000000" w:themeColor="text1"/>
          <w:sz w:val="48"/>
          <w:szCs w:val="48"/>
        </w:rPr>
        <w:instrText>«ParentName»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end"/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b/>
          <w:noProof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 MERGEFIELD </w:instrText>
      </w:r>
      <w:r w:rsidRPr="008D019B" w:rsidR="00D345AF">
        <w:rPr>
          <w:rFonts w:ascii="Times New Roman" w:hAnsi="Times New Roman"/>
          <w:b/>
          <w:color w:val="000000" w:themeColor="text1"/>
          <w:sz w:val="40"/>
          <w:szCs w:val="40"/>
        </w:rPr>
        <w:instrText>Event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separate"/>
      </w:r>
      <w:r>
        <w:rPr>
          <w:rFonts w:ascii="Times New Roman" w:hAnsi="Times New Roman"/>
          <w:b/>
          <w:noProof/>
          <w:color w:val="000000" w:themeColor="text1"/>
          <w:sz w:val="40"/>
          <w:szCs w:val="40"/>
        </w:rPr>
        <w:instrText>«EventName»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>" 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Opioid Use Disorder (MOUD) X Waiver Training January 13, 2022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" 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t>Opioid Use Disorder (MOUD) X Waiver Training January 13, 2022</w:t>
      </w:r>
      <w:r w:rsidRPr="008D019B" w:rsidR="00BF0B3E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January 13, 2022 8:00 AM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Live Activity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E714AE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Online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Specialties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Specialties</w: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All Specialties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Professions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MERGEFIELD TargetProfessions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4"/>
        </w:rPr>
        <w:instrText>«TargetProfessions»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777172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Description</w:t>
      </w: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:rsidR="00BF5409" w:rsidRPr="00777172">
      <w:pPr>
        <w:bidi w:val="0"/>
        <w:spacing w:after="280" w:afterAutospacing="1"/>
      </w:pPr>
      <w:r>
        <w:rPr>
          <w:rtl w:val="0"/>
        </w:rPr>
        <w:t>The purpose of this is to better prepare physicians and medical students to identify individuals with opioid use disorders and to engage those patients in medication-assisted treatment for their opioid use disorder.</w:t>
      </w:r>
    </w:p>
    <w:p>
      <w:pPr>
        <w:numPr>
          <w:ilvl w:val="0"/>
          <w:numId w:val="8"/>
        </w:numPr>
        <w:bidi w:val="0"/>
        <w:rPr>
          <w:rtl w:val="0"/>
        </w:rPr>
      </w:pPr>
      <w:r>
        <w:rPr>
          <w:rtl w:val="0"/>
        </w:rPr>
        <w:t>Screen and identify patients with OUD and define evidence-based treatments.</w:t>
      </w:r>
      <w:r>
        <w:rPr>
          <w:rtl w:val="0"/>
        </w:rPr>
        <w:br/>
      </w:r>
      <w:r>
        <w:rPr>
          <w:rtl w:val="0"/>
        </w:rPr>
        <w:t>Discuss the pharmacology of opioids as it relates to treatment of opioid use disorder (OUD) patients.</w:t>
      </w:r>
    </w:p>
    <w:p>
      <w:pPr>
        <w:numPr>
          <w:ilvl w:val="0"/>
          <w:numId w:val="8"/>
        </w:numPr>
        <w:bidi w:val="0"/>
        <w:rPr>
          <w:rtl w:val="0"/>
        </w:rPr>
      </w:pPr>
      <w:r>
        <w:rPr>
          <w:rtl w:val="0"/>
        </w:rPr>
        <w:t>Describe the fundamentals of office-based opioid treatment including the treatment of the co-morbid patient.</w:t>
      </w:r>
      <w:r>
        <w:rPr>
          <w:rtl w:val="0"/>
        </w:rPr>
        <w:br/>
      </w:r>
      <w:r>
        <w:rPr>
          <w:rtl w:val="0"/>
        </w:rPr>
        <w:t>Explain the process of buprenorphine induction as well as stabilization and maintenance.</w:t>
      </w:r>
    </w:p>
    <w:p>
      <w:pPr>
        <w:numPr>
          <w:ilvl w:val="0"/>
          <w:numId w:val="8"/>
        </w:numPr>
        <w:bidi w:val="0"/>
        <w:rPr>
          <w:rtl w:val="0"/>
        </w:rPr>
      </w:pPr>
      <w:r>
        <w:rPr>
          <w:rtl w:val="0"/>
        </w:rPr>
        <w:t>Discuss all FDA approved antagonist and agonist medications to treat OUD.</w:t>
      </w:r>
    </w:p>
    <w:p>
      <w:pPr>
        <w:numPr>
          <w:ilvl w:val="0"/>
          <w:numId w:val="8"/>
        </w:numPr>
        <w:bidi w:val="0"/>
        <w:rPr>
          <w:rtl w:val="0"/>
        </w:rPr>
      </w:pPr>
      <w:r>
        <w:rPr>
          <w:rtl w:val="0"/>
        </w:rPr>
        <w:t>Discuss basic office protocols including medical record documentation and confidentially.</w:t>
      </w:r>
    </w:p>
    <w:p>
      <w:pPr>
        <w:numPr>
          <w:ilvl w:val="0"/>
          <w:numId w:val="8"/>
        </w:numPr>
        <w:bidi w:val="0"/>
        <w:rPr>
          <w:rtl w:val="0"/>
        </w:rPr>
      </w:pPr>
      <w:r>
        <w:rPr>
          <w:rtl w:val="0"/>
        </w:rPr>
        <w:t>Utilize evidence-based resources to ensure providers have the confidence to prescribe buprenorphine for patients with OUD.</w:t>
      </w:r>
    </w:p>
    <w:p>
      <w:pPr>
        <w:numPr>
          <w:ilvl w:val="0"/>
          <w:numId w:val="8"/>
        </w:numPr>
        <w:bidi w:val="0"/>
        <w:spacing w:after="280" w:afterAutospacing="1"/>
        <w:rPr>
          <w:rtl w:val="0"/>
        </w:rPr>
      </w:pPr>
      <w:r>
        <w:rPr>
          <w:rtl w:val="0"/>
        </w:rPr>
        <w:t>Recognize the importance of obtaining a waiver to begin treating patients with OUD.</w:t>
      </w:r>
    </w:p>
    <w:p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"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1 Understand the pivotal milestones in opioid treatment and legislative initiatives in order to decrease the number of fatal overdoses and increase patients’ retention in treatment with improved social functioning.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Identify and assess patients who are appropriate for treatment with medications. Describe the components of evaluation for medication-assisted treatment.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Examine variable pain management practices for patients with OUD and understand clinical uses of buprenorphine, including induction, stabilization, maintenance, and withdrawal.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Learning Objectives</w:instrTex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1 Understand the pivotal milestones in opioid treatment and legislative initiatives in order to decrease the number of fatal overdoses and increase patients’ retention in treatment with improved social functioning.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Identify and assess patients who are appropriate for treatment with medications. Describe the components of evaluation for medication-assisted treatment.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Examine variable pain management practices for patients with OUD and understand clinical uses of buprenorphine, including induction, stabilization, maintenance, and withdrawal.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Learning Objectives</w: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1 Understand the pivotal milestones in opioid treatment and legislative initiatives in order to decrease the number of fatal overdoses and increase patients’ retention in treatment with improved social functioning.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2 Identify and assess patients who are appropriate for treatment with medications. Describe the components of evaluation for medication-assisted treatment.</w: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3 Examine variable pain management practices for patients with OUD and understand clinical uses of buprenorphine, including induction, stabilization, maintenance, and withdrawal.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3778CA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Accreditation &amp; Credit Designation</w:t>
      </w: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5744CE" w:rsidRPr="008D019B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The Oklahoma State University College of Osteopathic Medicine is accredited by the American Osteopathic Association to provide osteopathic continuing medical education for physicians.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8D019B">
        <w:rPr>
          <w:rFonts w:ascii="Times New Roman" w:hAnsi="Times New Roman"/>
          <w:color w:val="000000" w:themeColor="text1"/>
          <w:szCs w:val="24"/>
        </w:rPr>
        <w:instrText>4.00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8D019B">
        <w:rPr>
          <w:rFonts w:ascii="Times New Roman" w:hAnsi="Times New Roman"/>
          <w:color w:val="000000" w:themeColor="text1"/>
          <w:szCs w:val="24"/>
        </w:rPr>
        <w:instrText>0.00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instrText>4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The Oklahoma State University College of Osteopathic Medicine designates this program for a maximum of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4.00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instrText>4.0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1-A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4.0</w:instrText>
      </w:r>
      <w:r w:rsidRPr="005744CE">
        <w:rPr>
          <w:rFonts w:ascii="Times New Roman" w:hAnsi="Times New Roman"/>
          <w:color w:val="000000" w:themeColor="text1"/>
          <w:szCs w:val="24"/>
        </w:rPr>
        <w:instrText>) AOA Category 1-A credit(s)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AOA1AHours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AOA1BHoursMax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1-B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, and will report CME and specialty credits commensurate with the 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extent of the physician's participation in this activity."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t xml:space="preserve">The Oklahoma State University College of Osteopathic Medicine designates this program for a maximum of </w:t>
      </w:r>
      <w:r w:rsidRPr="005744CE">
        <w:rPr>
          <w:rFonts w:ascii="Times New Roman" w:hAnsi="Times New Roman"/>
          <w:color w:val="000000" w:themeColor="text1"/>
          <w:szCs w:val="24"/>
        </w:rPr>
        <w:t>(</w:t>
      </w:r>
      <w:r w:rsidRPr="005744CE">
        <w:rPr>
          <w:rFonts w:ascii="Times New Roman" w:hAnsi="Times New Roman"/>
          <w:color w:val="000000" w:themeColor="text1"/>
          <w:szCs w:val="24"/>
        </w:rPr>
        <w:t>4.0</w:t>
      </w:r>
      <w:r w:rsidRPr="005744CE">
        <w:rPr>
          <w:rFonts w:ascii="Times New Roman" w:hAnsi="Times New Roman"/>
          <w:color w:val="000000" w:themeColor="text1"/>
          <w:szCs w:val="24"/>
        </w:rPr>
        <w:t>) AOA Category 1-A credit(s)</w:t>
      </w:r>
      <w:r w:rsidRPr="005744CE">
        <w:rPr>
          <w:rFonts w:ascii="Times New Roman" w:hAnsi="Times New Roman"/>
          <w:color w:val="000000" w:themeColor="text1"/>
          <w:szCs w:val="24"/>
        </w:rPr>
        <w:t xml:space="preserve">, and will report CME and specialty credits commensurate with the </w:t>
      </w:r>
      <w:r w:rsidRPr="005744CE">
        <w:rPr>
          <w:rFonts w:ascii="Times New Roman" w:hAnsi="Times New Roman"/>
          <w:color w:val="000000" w:themeColor="text1"/>
          <w:szCs w:val="24"/>
        </w:rPr>
        <w:t>extent of the physician's participation in this activity.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0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Approved for up to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Prescribed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AAFPEHours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AAFPEHoursMax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Elective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This program meets the requirements for approval of (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MERGEFIELD OpioidHoursMax \# 0.0#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) hour(s) of CME credit by the Oklahoma State Board of Osteopathic Examiners."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  <w:sectPr w:rsidSect="004135B5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415EF3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Faculty &amp; Planners</w:t>
      </w:r>
    </w:p>
    <w:p w:rsidR="004135B5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7"/>
        <w:gridCol w:w="2997"/>
        <w:gridCol w:w="3996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Hana Lorin, BSc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- 12/21/2021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Jason Beaman,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Kelly Dunn,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- 12/21/2021</w:t>
            </w:r>
          </w:p>
        </w:tc>
      </w:tr>
    </w:tbl>
    <w:p w:rsidR="00415EF3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</w:p>
    <w:p w:rsidR="00A97C97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Commercial Support</w:t>
      </w: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3E48A1" w:rsidRPr="008D019B" w:rsidP="00C57BED">
      <w:pPr>
        <w:contextualSpacing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 w:rsidR="00E00797">
        <w:rPr>
          <w:rFonts w:ascii="Times New Roman" w:hAnsi="Times New Roman"/>
          <w:color w:val="000000" w:themeColor="text1"/>
          <w:szCs w:val="24"/>
        </w:rPr>
        <w:instrText xml:space="preserve">MERGEFIELD 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CommercialSupport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="008D019B">
        <w:rPr>
          <w:rFonts w:ascii="Times New Roman" w:hAnsi="Times New Roman"/>
          <w:noProof/>
          <w:color w:val="000000" w:themeColor="text1"/>
          <w:szCs w:val="24"/>
        </w:rPr>
        <w:instrText>«CommercialSupport»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"This activity has been developed without commercial support."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t>This activity has been developed without commercial support.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sectPr w:rsidSect="004135B5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CEEDF2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A437F"/>
    <w:multiLevelType w:val="singleLevel"/>
    <w:tmpl w:val="36EEACDE"/>
    <w:lvl w:ilvl="0">
      <w:start w:val="0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482B523C"/>
    <w:multiLevelType w:val="singleLevel"/>
    <w:tmpl w:val="282C6E40"/>
    <w:lvl w:ilvl="0">
      <w:start w:val="0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>
    <w:nsid w:val="4E5E3823"/>
    <w:multiLevelType w:val="hybridMultilevel"/>
    <w:tmpl w:val="9622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EFC"/>
    <w:multiLevelType w:val="singleLevel"/>
    <w:tmpl w:val="FC224372"/>
    <w:lvl w:ilvl="0">
      <w:start w:val="0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5">
    <w:nsid w:val="6B2401E3"/>
    <w:multiLevelType w:val="multilevel"/>
    <w:tmpl w:val="0B1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8856AB"/>
    <w:multiLevelType w:val="hybridMultilevel"/>
    <w:tmpl w:val="3FCCB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56AC"/>
    <w:multiLevelType w:val="hybridMultilevel"/>
    <w:tmpl w:val="748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Technical" w:hAnsi="Technic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ind w:left="720"/>
    </w:pPr>
    <w:rPr>
      <w:rFonts w:ascii="Tahoma" w:hAnsi="Tahoma"/>
    </w:rPr>
  </w:style>
  <w:style w:type="paragraph" w:styleId="BodyTextIndent2">
    <w:name w:val="Body Text Indent 2"/>
    <w:basedOn w:val="Normal"/>
    <w:pPr>
      <w:ind w:left="2160" w:hanging="216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rsid w:val="001E6C4E"/>
    <w:pPr>
      <w:spacing w:after="120" w:line="480" w:lineRule="auto"/>
    </w:pPr>
  </w:style>
  <w:style w:type="paragraph" w:styleId="Footer">
    <w:name w:val="footer"/>
    <w:basedOn w:val="Normal"/>
    <w:link w:val="FooterChar"/>
    <w:rsid w:val="008609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609CF"/>
    <w:rPr>
      <w:rFonts w:ascii="Technical" w:hAnsi="Technical"/>
      <w:sz w:val="24"/>
    </w:rPr>
  </w:style>
  <w:style w:type="paragraph" w:styleId="BalloonText">
    <w:name w:val="Balloon Text"/>
    <w:basedOn w:val="Normal"/>
    <w:link w:val="BalloonTextChar"/>
    <w:rsid w:val="009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BC2"/>
    <w:rPr>
      <w:rFonts w:ascii="Tahoma" w:hAnsi="Tahoma" w:cs="Tahoma"/>
      <w:sz w:val="16"/>
      <w:szCs w:val="16"/>
    </w:rPr>
  </w:style>
  <w:style w:type="paragraph" w:customStyle="1" w:styleId="SendersAddress">
    <w:name w:val="Sender's Address"/>
    <w:basedOn w:val="Normal"/>
    <w:uiPriority w:val="2"/>
    <w:qFormat/>
    <w:rsid w:val="00F978E5"/>
    <w:pPr>
      <w:spacing w:after="200" w:line="276" w:lineRule="auto"/>
    </w:pPr>
    <w:rPr>
      <w:rFonts w:ascii="Century Schoolbook" w:eastAsia="Century Schoolbook" w:hAnsi="Century Schoolbook" w:cs="Century Schoolbook"/>
      <w:color w:val="FFFFFF"/>
      <w:spacing w:val="20"/>
      <w:sz w:val="20"/>
      <w:lang w:eastAsia="ja-JP" w:bidi="he-IL"/>
    </w:rPr>
  </w:style>
  <w:style w:type="character" w:styleId="CommentReference">
    <w:name w:val="annotation reference"/>
    <w:rsid w:val="004E38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38D5"/>
    <w:rPr>
      <w:rFonts w:ascii="Technical" w:hAnsi="Technic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38D5"/>
  </w:style>
  <w:style w:type="character" w:customStyle="1" w:styleId="CommentSubjectChar">
    <w:name w:val="Comment Subject Char"/>
    <w:link w:val="CommentSubject"/>
    <w:rsid w:val="004E38D5"/>
    <w:rPr>
      <w:rFonts w:ascii="Technical" w:hAnsi="Technical"/>
      <w:b/>
      <w:bCs/>
    </w:rPr>
  </w:style>
  <w:style w:type="character" w:customStyle="1" w:styleId="video-title1">
    <w:name w:val="video-title1"/>
    <w:rsid w:val="00E55D41"/>
    <w:rPr>
      <w:b/>
      <w:bCs/>
      <w:vanish w:val="0"/>
      <w:webHidden w:val="0"/>
      <w:color w:val="FF8901"/>
      <w:sz w:val="26"/>
      <w:szCs w:val="26"/>
      <w:specVanish w:val="0"/>
    </w:rPr>
  </w:style>
  <w:style w:type="character" w:styleId="Emphasis">
    <w:name w:val="Emphasis"/>
    <w:uiPriority w:val="20"/>
    <w:qFormat/>
    <w:rsid w:val="00E55D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46086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0CE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65C98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5C98"/>
    <w:rPr>
      <w:rFonts w:ascii="Calibri" w:eastAsia="Calibri" w:hAnsi="Calibri" w:cs="Consolas"/>
      <w:sz w:val="22"/>
      <w:szCs w:val="21"/>
    </w:rPr>
  </w:style>
  <w:style w:type="paragraph" w:customStyle="1" w:styleId="xmsonormal">
    <w:name w:val="x_msonormal"/>
    <w:basedOn w:val="Normal"/>
    <w:rsid w:val="00D03535"/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A96F9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96F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AMC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creator>Cindy Spiezio</dc:creator>
  <cp:lastModifiedBy>Tyler Browne</cp:lastModifiedBy>
  <cp:revision>2</cp:revision>
  <cp:lastPrinted>2020-06-19T17:43:00Z</cp:lastPrinted>
  <dcterms:created xsi:type="dcterms:W3CDTF">2021-11-23T19:03:00Z</dcterms:created>
  <dcterms:modified xsi:type="dcterms:W3CDTF">2021-11-23T19:03:00Z</dcterms:modified>
</cp:coreProperties>
</file>